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29" w:rsidRPr="00520A35" w:rsidRDefault="00B97029" w:rsidP="00B97029">
      <w:pPr>
        <w:rPr>
          <w:rFonts w:ascii="仿宋_GB2312" w:eastAsia="仿宋_GB2312" w:hAnsi="宋体" w:cs="仿宋_GB2312" w:hint="eastAsia"/>
          <w:sz w:val="28"/>
          <w:szCs w:val="28"/>
        </w:rPr>
      </w:pPr>
      <w:r w:rsidRPr="007E541C">
        <w:rPr>
          <w:rFonts w:ascii="仿宋_GB2312" w:eastAsia="仿宋_GB2312" w:hAnsi="宋体" w:cs="仿宋_GB2312" w:hint="eastAsia"/>
          <w:sz w:val="28"/>
          <w:szCs w:val="28"/>
        </w:rPr>
        <w:t>附件</w:t>
      </w:r>
      <w:r>
        <w:rPr>
          <w:rFonts w:ascii="宋体" w:hAnsi="宋体" w:cs="仿宋_GB2312" w:hint="eastAsia"/>
          <w:sz w:val="28"/>
          <w:szCs w:val="28"/>
        </w:rPr>
        <w:t>11</w:t>
      </w:r>
      <w:r w:rsidRPr="007E541C">
        <w:rPr>
          <w:rFonts w:ascii="宋体" w:hAnsi="宋体" w:cs="仿宋_GB2312" w:hint="eastAsia"/>
          <w:sz w:val="28"/>
          <w:szCs w:val="28"/>
        </w:rPr>
        <w:t xml:space="preserve">             </w:t>
      </w:r>
    </w:p>
    <w:p w:rsidR="00B97029" w:rsidRDefault="00B97029" w:rsidP="00B97029">
      <w:pPr>
        <w:pStyle w:val="a5"/>
        <w:rPr>
          <w:rFonts w:hint="eastAsia"/>
          <w:lang w:eastAsia="zh-CN"/>
        </w:rPr>
      </w:pPr>
      <w:bookmarkStart w:id="0" w:name="_Toc514686143"/>
      <w:bookmarkStart w:id="1" w:name="_Toc514939844"/>
      <w:bookmarkStart w:id="2" w:name="_Toc516047508"/>
      <w:proofErr w:type="spellStart"/>
      <w:r w:rsidRPr="00225A42">
        <w:rPr>
          <w:rFonts w:hint="eastAsia"/>
        </w:rPr>
        <w:t>材料、设备认价程序</w:t>
      </w:r>
      <w:bookmarkEnd w:id="0"/>
      <w:bookmarkEnd w:id="1"/>
      <w:bookmarkEnd w:id="2"/>
      <w:proofErr w:type="spellEnd"/>
    </w:p>
    <w:p w:rsidR="00470C1D" w:rsidRPr="00216037" w:rsidRDefault="00B97029" w:rsidP="00B97029">
      <w:pPr>
        <w:rPr>
          <w:szCs w:val="30"/>
        </w:rPr>
      </w:pPr>
      <w:r>
        <w:rPr>
          <w:noProof/>
          <w:szCs w:val="30"/>
        </w:rPr>
      </w:r>
      <w:r>
        <w:rPr>
          <w:szCs w:val="30"/>
        </w:rPr>
        <w:pict>
          <v:group id="画布 54" o:spid="_x0000_s2285" editas="canvas" style="width:415.3pt;height:573.95pt;mso-position-horizontal-relative:char;mso-position-vertical-relative:line" coordorigin="1800,3080" coordsize="8306,114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86" type="#_x0000_t75" style="position:absolute;left:1800;top:3080;width:8306;height:11479;visibility:visible">
              <v:fill o:detectmouseclick="t"/>
              <v:path o:connecttype="none"/>
            </v:shape>
            <v:rect id="Rectangle 109" o:spid="_x0000_s2287" style="position:absolute;left:4515;top:3270;width:2869;height:759;visibility:visible">
              <v:textbox style="mso-next-textbox:#Rectangle 109">
                <w:txbxContent>
                  <w:p w:rsidR="00B97029" w:rsidRPr="005F7050" w:rsidRDefault="00B97029" w:rsidP="00B97029">
                    <w:pPr>
                      <w:jc w:val="center"/>
                      <w:rPr>
                        <w:rFonts w:ascii="仿宋_GB2312" w:eastAsia="仿宋_GB2312" w:hAnsi="宋体"/>
                        <w:sz w:val="24"/>
                      </w:rPr>
                    </w:pP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施工</w:t>
                    </w: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单位向监理</w:t>
                    </w: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单位报</w:t>
                    </w: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《材料、设备认价表》</w:t>
                    </w:r>
                  </w:p>
                </w:txbxContent>
              </v:textbox>
            </v:rect>
            <v:rect id="Rectangle 110" o:spid="_x0000_s2288" style="position:absolute;left:4393;top:4556;width:3134;height:760;visibility:visible">
              <v:textbox style="mso-next-textbox:#Rectangle 110">
                <w:txbxContent>
                  <w:p w:rsidR="00B97029" w:rsidRPr="005F7050" w:rsidRDefault="00B97029" w:rsidP="00B97029">
                    <w:pPr>
                      <w:jc w:val="center"/>
                      <w:rPr>
                        <w:rFonts w:ascii="仿宋_GB2312" w:eastAsia="仿宋_GB2312" w:hAnsi="宋体"/>
                        <w:sz w:val="24"/>
                      </w:rPr>
                    </w:pP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监理</w:t>
                    </w: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单位审核《材料、设备认价表》提出审核</w:t>
                    </w: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意见</w:t>
                    </w:r>
                  </w:p>
                </w:txbxContent>
              </v:textbox>
            </v:rect>
            <v:rect id="Rectangle 111" o:spid="_x0000_s2289" style="position:absolute;left:4235;top:5823;width:3478;height:760;visibility:visible">
              <v:textbox style="mso-next-textbox:#Rectangle 111">
                <w:txbxContent>
                  <w:p w:rsidR="00B97029" w:rsidRPr="005F7050" w:rsidRDefault="00B97029" w:rsidP="00B97029">
                    <w:pPr>
                      <w:spacing w:line="480" w:lineRule="auto"/>
                      <w:ind w:firstLineChars="50" w:firstLine="116"/>
                      <w:jc w:val="center"/>
                      <w:rPr>
                        <w:rFonts w:ascii="仿宋_GB2312" w:eastAsia="仿宋_GB2312" w:hAnsi="宋体"/>
                        <w:sz w:val="24"/>
                      </w:rPr>
                    </w:pP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基建项目实施部门组织询价</w:t>
                    </w:r>
                  </w:p>
                </w:txbxContent>
              </v:textbox>
            </v:rect>
            <v:rect id="Rectangle 113" o:spid="_x0000_s2290" style="position:absolute;left:4220;top:7179;width:3629;height:798;visibility:visible">
              <v:textbox style="mso-next-textbox:#Rectangle 113">
                <w:txbxContent>
                  <w:p w:rsidR="00B97029" w:rsidRPr="005F7050" w:rsidRDefault="00B97029" w:rsidP="00B97029">
                    <w:pPr>
                      <w:jc w:val="center"/>
                      <w:rPr>
                        <w:rFonts w:ascii="仿宋_GB2312" w:eastAsia="仿宋_GB2312" w:hAnsi="宋体"/>
                        <w:sz w:val="24"/>
                      </w:rPr>
                    </w:pP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造价咨询单位</w:t>
                    </w: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审核《材料、设备认价表》</w:t>
                    </w:r>
                  </w:p>
                  <w:p w:rsidR="00B97029" w:rsidRPr="00FC170C" w:rsidRDefault="00B97029" w:rsidP="00B97029">
                    <w:pPr>
                      <w:rPr>
                        <w:rFonts w:ascii="仿宋_GB2312" w:eastAsia="仿宋_GB2312" w:hAnsi="宋体"/>
                        <w:sz w:val="24"/>
                      </w:rPr>
                    </w:pPr>
                  </w:p>
                </w:txbxContent>
              </v:textbox>
            </v:rect>
            <v:rect id="Rectangle 114" o:spid="_x0000_s2291" style="position:absolute;left:3298;top:8622;width:5462;height:666;visibility:visible">
              <v:textbox style="mso-next-textbox:#Rectangle 114">
                <w:txbxContent>
                  <w:p w:rsidR="00B97029" w:rsidRPr="005F7050" w:rsidRDefault="00B97029" w:rsidP="00B97029">
                    <w:pPr>
                      <w:spacing w:line="360" w:lineRule="auto"/>
                      <w:jc w:val="center"/>
                      <w:rPr>
                        <w:rFonts w:ascii="仿宋_GB2312" w:eastAsia="仿宋_GB2312" w:hAnsi="宋体"/>
                        <w:spacing w:val="-4"/>
                        <w:sz w:val="24"/>
                      </w:rPr>
                    </w:pP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四方商议、</w:t>
                    </w: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洽谈材料、设备认价</w:t>
                    </w:r>
                  </w:p>
                </w:txbxContent>
              </v:textbox>
            </v:rect>
            <v:rect id="Rectangle 115" o:spid="_x0000_s2292" style="position:absolute;left:3270;top:9749;width:5520;height:845;visibility:visible">
              <v:textbox style="mso-next-textbox:#Rectangle 115">
                <w:txbxContent>
                  <w:p w:rsidR="00B97029" w:rsidRPr="005F7050" w:rsidRDefault="00B97029" w:rsidP="00B97029">
                    <w:pPr>
                      <w:jc w:val="center"/>
                      <w:rPr>
                        <w:rFonts w:ascii="仿宋_GB2312" w:eastAsia="仿宋_GB2312" w:hAnsi="宋体"/>
                        <w:sz w:val="24"/>
                      </w:rPr>
                    </w:pP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基建项目实施部门</w:t>
                    </w:r>
                    <w:r w:rsidRPr="005F7050"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填报《工程材料、设备认价会签单》</w:t>
                    </w: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，按程序审批</w:t>
                    </w:r>
                  </w:p>
                </w:txbxContent>
              </v:textbox>
            </v:rect>
            <v:rect id="Rectangle 116" o:spid="_x0000_s2293" style="position:absolute;left:3327;top:11009;width:5397;height:496;visibility:visible">
              <v:textbox style="mso-next-textbox:#Rectangle 116">
                <w:txbxContent>
                  <w:p w:rsidR="00B97029" w:rsidRPr="005F7050" w:rsidRDefault="00B97029" w:rsidP="00B97029">
                    <w:pPr>
                      <w:ind w:firstLineChars="400" w:firstLine="928"/>
                      <w:jc w:val="left"/>
                      <w:rPr>
                        <w:rFonts w:ascii="仿宋_GB2312" w:eastAsia="仿宋_GB2312" w:hAnsi="宋体"/>
                        <w:sz w:val="24"/>
                      </w:rPr>
                    </w:pPr>
                    <w:r>
                      <w:rPr>
                        <w:rFonts w:ascii="仿宋_GB2312" w:eastAsia="仿宋_GB2312" w:hAnsi="宋体" w:hint="eastAsia"/>
                        <w:spacing w:val="-4"/>
                        <w:sz w:val="24"/>
                      </w:rPr>
                      <w:t>造价咨询单位报审计部门备案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7" o:spid="_x0000_s2294" type="#_x0000_t32" style="position:absolute;left:5950;top:4029;width:10;height:527;visibility:visible" o:connectortype="straight">
              <v:stroke endarrow="block"/>
            </v:shape>
            <v:shape id="AutoShape 118" o:spid="_x0000_s2295" type="#_x0000_t32" style="position:absolute;left:5959;top:5316;width:1;height:507;flip:x;visibility:visible" o:connectortype="straight">
              <v:stroke endarrow="block"/>
            </v:shape>
            <v:shape id="AutoShape 123" o:spid="_x0000_s2296" type="#_x0000_t32" style="position:absolute;left:6029;top:9288;width:1;height:461;visibility:visible" o:connectortype="straight">
              <v:stroke endarrow="block"/>
            </v:shape>
            <v:shape id="AutoShape 124" o:spid="_x0000_s2297" type="#_x0000_t32" style="position:absolute;left:6026;top:10594;width:4;height:415;flip:x;visibility:visible" o:connectortype="straight">
              <v:stroke endarrow="block"/>
            </v:shape>
            <v:shape id="AutoShape 118" o:spid="_x0000_s2298" type="#_x0000_t32" style="position:absolute;left:6029;top:7977;width:6;height:645;flip:x;visibility:visible" o:connectortype="straight">
              <v:stroke endarrow="block"/>
            </v:shape>
            <v:shape id="AutoShape 117" o:spid="_x0000_s2299" type="#_x0000_t32" style="position:absolute;left:6034;top:6583;width:1;height:596;visibility:visible" o:connectortype="straight">
              <v:stroke endarrow="block"/>
            </v:shape>
            <w10:wrap type="none"/>
            <w10:anchorlock/>
          </v:group>
        </w:pict>
      </w:r>
    </w:p>
    <w:sectPr w:rsidR="00470C1D" w:rsidRPr="00216037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C63" w:rsidRDefault="002A5C63" w:rsidP="00E632BA">
      <w:r>
        <w:separator/>
      </w:r>
    </w:p>
  </w:endnote>
  <w:endnote w:type="continuationSeparator" w:id="0">
    <w:p w:rsidR="002A5C63" w:rsidRDefault="002A5C63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C63" w:rsidRDefault="002A5C63" w:rsidP="00E632BA">
      <w:r>
        <w:separator/>
      </w:r>
    </w:p>
  </w:footnote>
  <w:footnote w:type="continuationSeparator" w:id="0">
    <w:p w:rsidR="002A5C63" w:rsidRDefault="002A5C63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16037"/>
    <w:rsid w:val="002411FA"/>
    <w:rsid w:val="00276CA6"/>
    <w:rsid w:val="002A0C02"/>
    <w:rsid w:val="002A5C63"/>
    <w:rsid w:val="002E0A5C"/>
    <w:rsid w:val="00433BBD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915DB4"/>
    <w:rsid w:val="00A86482"/>
    <w:rsid w:val="00B97029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106" type="connector" idref="#AutoShape 124">
          <o:proxy start="" idref="#Rectangle 115" connectloc="2"/>
          <o:proxy end="" idref="#Rectangle 116" connectloc="0"/>
        </o:r>
        <o:r id="V:Rule107" type="connector" idref="#AutoShape 118">
          <o:proxy start="" idref="#Rectangle 110" connectloc="2"/>
        </o:r>
        <o:r id="V:Rule108" type="connector" idref="#AutoShape 117">
          <o:proxy start="" idref="#Rectangle 109" connectloc="2"/>
          <o:proxy end="" idref="#Rectangle 110" connectloc="0"/>
        </o:r>
        <o:r id="V:Rule109" type="connector" idref="#AutoShape 123">
          <o:proxy start="" idref="#Rectangle 114" connectloc="2"/>
          <o:proxy end="" idref="#Rectangle 115" connectloc="0"/>
        </o:r>
        <o:r id="V:Rule110" type="connector" idref="#AutoShape 118">
          <o:proxy start="" idref="#Rectangle 113" connectloc="2"/>
          <o:proxy end="" idref="#Rectangle 114" connectloc="0"/>
        </o:r>
        <o:r id="V:Rule111" type="connector" idref="#AutoShape 117">
          <o:proxy end="" idref="#Rectangle 113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2018-08-28T02:03:00Z</dcterms:created>
  <dcterms:modified xsi:type="dcterms:W3CDTF">2018-08-28T02:03:00Z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