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Times New Roman" w:eastAsia="方正小标宋_GBK"/>
          <w:spacing w:val="0"/>
          <w:kern w:val="0"/>
          <w:sz w:val="44"/>
          <w:szCs w:val="44"/>
          <w:lang w:val="en-US" w:eastAsia="zh-CN"/>
        </w:rPr>
      </w:pPr>
      <w:r>
        <w:rPr>
          <w:rFonts w:hint="eastAsia" w:ascii="Times New Roman" w:eastAsia="方正小标宋_GBK"/>
          <w:spacing w:val="0"/>
          <w:kern w:val="0"/>
          <w:sz w:val="44"/>
          <w:szCs w:val="44"/>
          <w:lang w:val="en-US" w:eastAsia="zh-CN"/>
        </w:rPr>
        <w:t>云南省教育厅关于编制2023-2025年</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Times New Roman" w:eastAsia="方正小标宋_GBK"/>
          <w:spacing w:val="0"/>
          <w:kern w:val="0"/>
          <w:sz w:val="44"/>
          <w:szCs w:val="44"/>
          <w:lang w:val="en-US" w:eastAsia="zh-CN"/>
        </w:rPr>
      </w:pPr>
      <w:r>
        <w:rPr>
          <w:rFonts w:hint="eastAsia" w:ascii="Times New Roman" w:eastAsia="方正小标宋_GBK"/>
          <w:spacing w:val="0"/>
          <w:kern w:val="0"/>
          <w:sz w:val="44"/>
          <w:szCs w:val="44"/>
          <w:lang w:val="en-US" w:eastAsia="zh-CN"/>
        </w:rPr>
        <w:t>中期财政规划和2023年部门预算的通知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Times New Roman" w:eastAsia="方正仿宋_GBK"/>
          <w:spacing w:val="0"/>
          <w:kern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各有关高等学校、中等职业学校、中小学：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按照《云南省财政厅关于编制省级部门2023-2025年中期财政规划和2023年部门预算的通知》（云财预〔2022〕95号）要求，现就做好省教育厅2023-2025年中期财政规划和2023年部门预算编制工作通知如下：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全面贯彻党的十九大、十九届历次全会及中央经济工作会议精神，深入学习贯彻落实习近平总书记考察云南重要讲话精神和重要指示批示精神，紧紧围绕省第十一次党代会精神和省委省政府工作要求，优化支出结构，继续坚持政府过紧日子，勤俭节约办一切事业，</w:t>
      </w:r>
      <w:r>
        <w:rPr>
          <w:rFonts w:hint="default" w:ascii="Times New Roman" w:hAnsi="Times New Roman" w:eastAsia="方正仿宋_GBK" w:cs="Times New Roman"/>
          <w:spacing w:val="-6"/>
          <w:sz w:val="32"/>
          <w:szCs w:val="32"/>
          <w:lang w:val="en-US" w:eastAsia="zh-CN"/>
        </w:rPr>
        <w:t>严控一般性支出。按照省财政“一体四翼”预算编审体系要求，着力实施预算管理质量提升“四个行动”，深化预算管理改革六方面重点任务，编准、编实、编细预算，全力保障教育事业高质量发展。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二、实施预算管理质量提升“四个行动”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财政支出政策质量提升行动</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构建先有支出政策再有预算安排的管理机制，规范预算决策行为。厅本级和各二级预算单位（以下简称各单位）应在2022年7月22日前完成财政支出政策库的清理工作（具体操作步骤详见附件）。财政支出政策库将作为编制2023年部门预算的前置条件，无中央和省委省政府确定的政策依据，以及政策依据不充分的项目，一律不予安排预算。</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项目质量提升行动</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面清理项目库中现有的预算项目，对目标接近、资金投入方向类同、资金管理方式相近的专项资金予以整合归并为1项专项资金。从编制2023年预算起，除人员类、运转类项目外，特定目标类项目原则上每个预算单位不超过2个。按照国家规定配套资金、省委省政府决定实施重大项目、部门事业发展等进行项目分类，清晰界定刚性重点支出和一般性支出，并按项目建立大事要事保障清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预算编审质量提升行动</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单位要对项目前期各项准备工作、支出预算等方面进行全面审核和论证，结合项目成熟度，合理提出年度预算资金安排建议。原则上各单位“三公”经费、会议费、培训费、劳务费、咨询费、委托业务费预算数不超过2022年预算数。</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问题整改质量提升行动</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各单位要对照人大、审计发现的问题，逐一提出整改措施，规范完善管理制度，确保在2023年预算编制中整改到位。未落实人大、审计整改意见或整改不到位的，相应压减预算资金。</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三、深化预算管理改革六方面重点任务</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加大财政资源统筹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强化财政资金和单位资金统筹。各单位的财政拨款收支、事业收支、事业单位经营收支和其他收支等各项收支必须全部列入部门预算统一编制和批复。凡是未纳入预算编制和批复的收入，2023年一律不予安排支出。同时，建立单位资金和财政拨款安排衔接机制，对单位资金结余规模较大的单位，优先通过单位资金安排支出，相应压减财政拨款额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2.加大跨年度预算统筹。对结转资金规模较大的单位，在保障合理支出需求的基础上，相应核减当年预算安排额度。</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深化零基预算改革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将经省人民政府同意印发的《云南省财政厅关于印发深化零基预算改革实施意见的通知》（云财预〔2022〕26号）相关要求贯穿落实到2023年预算编制全过程，取消各类财政资金分配基数，所有支出安排不以上年保障水平为基数，逐项审核支出的必要性、合理性，并按照轻重缓急的原则进行项目排序，优先保障重点支出。</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持续建设节约型财政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1.严控行政运行成本。2023年由财政核定公用经费的单位，年初预算按10%比例统一压减公用经费，用于支持衔接推进乡村振兴。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强化“三公”经费管理。坚决取消无实质内容的因公出国（境）、公务接待等活动，切实降低公务用车运行维护成本。严格控制公务用车、执法执勤、特种专业技术用车购置经费规模，未经批准的购车经费一律不安排预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3.严禁违规修建楼堂馆所。严格执行中央和省关于党政机关楼堂馆所建设管理各项规定，一律停止新建、改扩建、购置党政机关楼堂馆所。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4.严控编外人员经费管理。2023年省级部门编外人员经费根据审定的用人额度，以项目化形式单独列示，确保只减不增，资金来源通过原渠道保障。</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推进支出标准建设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1.强化标准应用。严格按照已有标准编制预算（特别是差旅费、培训费、劳务费等），提升单位预算编制标准化。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2.规范公用经费管理。厘清公用经费支出与项目支出边界，建立以经济分类科目和具体支出事项相衔接的公用经费支出标准，对按人均测算的公用经费实行定额管理，细化明确支出范围。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3.完善项目标准。各单位要加强内部标准建设，结合本行业、本单位特点制定符合实际的支出标准，推动预算编制精准化。</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提升绩效管理效能</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1.推进绩效评估。新增或增加预算超过5000万的重大政策、项目须开展事前评估；到期政策申请继续实施的单位应开展定期绩效评估。评估未通过的项目，不纳入预算安排。</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加强目标审核。将绩效目标作为2023年预算编制和资金分配的前置条件，未编制绩效目标或绩效目标审核达不到要求的，一律不得纳入预算安排。预算批复后，各单位须按要求对绩效目标实现程度和预算执行进度实行“双监控”，及时纠偏。</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3.强化结果应用。扎实开展绩效目标管理、自评，配合做好部门评价、财政评价等工作，将评价结果作为改进管理和预算申报的重要依据。</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楷体_GBK" w:cs="Times New Roman"/>
          <w:sz w:val="32"/>
          <w:szCs w:val="32"/>
          <w:lang w:val="en-US" w:eastAsia="zh-CN"/>
        </w:rPr>
        <w:t>（六）强化预算执行约束</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强化指标管控。强化预算法定意识，建立先有预算再有指标后有支出的控制机制，各单位必须严格按照人大批复的预算执行，凡是未列入预算的事项一律不得支出，严禁超预算、无预算支付资金或开展政府采购。原则上，年中不再审批新增政府采购预算的申请。</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2.严控预算调剂。年度预算执行中严格控制不同预算科目或者项目间预算资金的调剂。确需调剂的，必须经财政部门审核后方可办理。</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3.严控新增支出。各单位不得在执行中再出台新的增加支出政策，增支政策原则上通过以后年度预算安排。</w:t>
      </w:r>
      <w:r>
        <w:rPr>
          <w:rFonts w:hint="default" w:ascii="Times New Roman" w:hAnsi="Times New Roman" w:eastAsia="方正仿宋_GBK" w:cs="Times New Roman"/>
          <w:sz w:val="32"/>
          <w:szCs w:val="32"/>
          <w:highlight w:val="none"/>
          <w:lang w:val="en-US" w:eastAsia="zh-CN"/>
        </w:rPr>
        <w:t>对于执行中确需新增安排的急需支出，原则上通过现有预算调剂解决。</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四、具体工作安排</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2023年部门预算以项目为申报基本单元，按照“二上二下”流程编制，并同步编制2023－2025年中期财政规划。</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（一）项目库编报</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1.特定目标类</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2022年7月1</w:t>
      </w:r>
      <w:r>
        <w:rPr>
          <w:rFonts w:hint="eastAsia" w:asci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日起，各单位加快项目储备工作，对项目开展全面自我评价和论证，条件成熟的项目方可进行申报。7月22日前，各单位完成财政支出政策库清理工作和新增项目登记，未提出新增项目申请的不能纳入2023年预算申报。8月20日前完成项目库细化和申报工作。</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2.人员运转类</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各单位于2022年8月30日前完成基础信息更新，9月1日起，以更新的基础信息数据为依据生成基本支出项目。</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（二）“一上”申报安排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2022年9月20日前，各单位完成2023年预算收入、支出、政府采购预算、新增资产配置等各项编制和上报工作，报送省教育厅审核。部门预算编制系统将于9月20日关库。</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（三）其他工作安排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1.学生人数报送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省属高校和中等职业学校报送在校学生基础信息至省教育厅汇总审核后报送省财政厅，作为核定2023年生均拨款年初批复数依据，具体时间和要求另行通知。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2.“一下”“二上”和“二下”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2022年12月中旬，省财政厅将下达3年规划控制数，第1年规划控制数即2023年预算控制数。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单位依据省财政厅下达的预算控制数，并结合2022年预计年末结转结余情况，进一步细化项目，调整核实各类支出科目设置，优化完善项目绩效目标，确保2023年预算能够顺利执行。省教育厅汇总形成部门预算草案，报送省财政厅并提交省人大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省人民代表大会批准省级预算草案20日内，省财政厅批复省教育厅部门预算，省教育厅于15日内批复各单位预算。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 系 人：</w:t>
      </w:r>
      <w:r>
        <w:rPr>
          <w:rFonts w:hint="default" w:ascii="Times New Roman" w:hAnsi="Times New Roman" w:eastAsia="方正仿宋_GBK" w:cs="Times New Roman"/>
          <w:sz w:val="32"/>
          <w:szCs w:val="32"/>
          <w:lang w:eastAsia="zh-CN"/>
        </w:rPr>
        <w:t>裴涵</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邓玉婷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联系电话：0871-65</w:t>
      </w:r>
      <w:r>
        <w:rPr>
          <w:rFonts w:hint="default" w:ascii="Times New Roman" w:hAnsi="Times New Roman" w:eastAsia="方正仿宋_GBK" w:cs="Times New Roman"/>
          <w:sz w:val="32"/>
          <w:szCs w:val="32"/>
          <w:lang w:val="en-US" w:eastAsia="zh-CN"/>
        </w:rPr>
        <w:t>102963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65103568</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仿宋" w:cs="Times New Roman"/>
          <w:sz w:val="32"/>
          <w:szCs w:val="32"/>
          <w:lang w:val="en-US" w:eastAsia="zh-CN"/>
        </w:rPr>
        <w:t>清理规范财政支出政策操作手册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688" w:firstLineChars="18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抄送：驻厅纪检监察组，机关各部处室、直属事业单位。</w:t>
      </w:r>
    </w:p>
    <w:p>
      <w:bookmarkStart w:id="0" w:name="_GoBack"/>
      <w:bookmarkEnd w:id="0"/>
    </w:p>
    <w:sectPr>
      <w:footerReference r:id="rId3" w:type="default"/>
      <w:footerReference r:id="rId4" w:type="even"/>
      <w:pgSz w:w="11906" w:h="16838"/>
      <w:pgMar w:top="2098" w:right="1474" w:bottom="1531" w:left="1587" w:header="0" w:footer="1020" w:gutter="0"/>
      <w:paperSrc w:first="7" w:other="7"/>
      <w:cols w:space="720" w:num="1"/>
      <w:titlePg/>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16" w:rightChars="100"/>
      <w:jc w:val="right"/>
      <w:rPr>
        <w:rFonts w:ascii="Times New Roman" w:hAnsi="Times New Roman" w:eastAsia="方正仿宋_GBK" w:cs="Times New Roman"/>
        <w:spacing w:val="0"/>
        <w:kern w:val="2"/>
        <w:sz w:val="24"/>
        <w:szCs w:val="20"/>
        <w:lang w:val="en-US" w:eastAsia="zh-CN" w:bidi="ar-SA"/>
      </w:rPr>
    </w:pPr>
    <w:r>
      <w:rPr>
        <w:rFonts w:hint="eastAsia" w:ascii="Times New Roman" w:hAnsi="Times New Roman" w:eastAsia="方正仿宋_GBK" w:cs="Times New Roman"/>
        <w:spacing w:val="0"/>
        <w:kern w:val="0"/>
        <w:sz w:val="26"/>
        <w:szCs w:val="20"/>
        <w:lang w:val="en-US" w:eastAsia="zh-CN" w:bidi="ar-SA"/>
      </w:rPr>
      <w:t xml:space="preserve">— </w:t>
    </w:r>
    <w:r>
      <w:rPr>
        <w:rFonts w:hint="eastAsia" w:ascii="Times New Roman" w:hAnsi="Times New Roman" w:eastAsia="方正仿宋_GBK" w:cs="Times New Roman"/>
        <w:spacing w:val="0"/>
        <w:kern w:val="0"/>
        <w:sz w:val="26"/>
        <w:szCs w:val="20"/>
        <w:lang w:val="en-US" w:eastAsia="zh-CN" w:bidi="ar-SA"/>
      </w:rPr>
      <w:fldChar w:fldCharType="begin"/>
    </w:r>
    <w:r>
      <w:rPr>
        <w:rFonts w:hint="eastAsia" w:ascii="Times New Roman" w:hAnsi="Times New Roman" w:eastAsia="方正仿宋_GBK" w:cs="Times New Roman"/>
        <w:spacing w:val="0"/>
        <w:kern w:val="0"/>
        <w:sz w:val="26"/>
        <w:szCs w:val="20"/>
        <w:lang w:val="en-US" w:eastAsia="zh-CN" w:bidi="ar-SA"/>
      </w:rPr>
      <w:instrText xml:space="preserve"> PAGE </w:instrText>
    </w:r>
    <w:r>
      <w:rPr>
        <w:rFonts w:hint="eastAsia" w:ascii="Times New Roman" w:hAnsi="Times New Roman" w:eastAsia="方正仿宋_GBK" w:cs="Times New Roman"/>
        <w:spacing w:val="0"/>
        <w:kern w:val="0"/>
        <w:sz w:val="26"/>
        <w:szCs w:val="20"/>
        <w:lang w:val="en-US" w:eastAsia="zh-CN" w:bidi="ar-SA"/>
      </w:rPr>
      <w:fldChar w:fldCharType="separate"/>
    </w:r>
    <w:r>
      <w:rPr>
        <w:rFonts w:ascii="Times New Roman" w:hAnsi="Times New Roman" w:eastAsia="方正仿宋_GBK" w:cs="Times New Roman"/>
        <w:spacing w:val="0"/>
        <w:kern w:val="0"/>
        <w:sz w:val="26"/>
        <w:szCs w:val="20"/>
        <w:lang w:val="en-US" w:eastAsia="zh-CN" w:bidi="ar-SA"/>
      </w:rPr>
      <w:t>1</w:t>
    </w:r>
    <w:r>
      <w:rPr>
        <w:rFonts w:hint="eastAsia" w:ascii="Times New Roman" w:hAnsi="Times New Roman" w:eastAsia="方正仿宋_GBK" w:cs="Times New Roman"/>
        <w:spacing w:val="0"/>
        <w:kern w:val="0"/>
        <w:sz w:val="26"/>
        <w:szCs w:val="20"/>
        <w:lang w:val="en-US" w:eastAsia="zh-CN" w:bidi="ar-SA"/>
      </w:rPr>
      <w:fldChar w:fldCharType="end"/>
    </w:r>
    <w:r>
      <w:rPr>
        <w:rFonts w:hint="eastAsia" w:ascii="Times New Roman" w:hAnsi="Times New Roman" w:eastAsia="方正仿宋_GBK" w:cs="Times New Roman"/>
        <w:spacing w:val="0"/>
        <w:kern w:val="0"/>
        <w:sz w:val="26"/>
        <w:szCs w:val="20"/>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316" w:leftChars="100"/>
      <w:jc w:val="left"/>
      <w:rPr>
        <w:rFonts w:ascii="Times New Roman" w:hAnsi="Times New Roman" w:eastAsia="方正仿宋_GBK" w:cs="Times New Roman"/>
        <w:spacing w:val="0"/>
        <w:kern w:val="2"/>
        <w:sz w:val="24"/>
        <w:szCs w:val="20"/>
        <w:lang w:val="en-US" w:eastAsia="zh-CN" w:bidi="ar-SA"/>
      </w:rPr>
    </w:pPr>
    <w:r>
      <w:rPr>
        <w:rFonts w:hint="eastAsia" w:ascii="Times New Roman" w:hAnsi="Times New Roman" w:eastAsia="方正仿宋_GBK" w:cs="Times New Roman"/>
        <w:spacing w:val="0"/>
        <w:kern w:val="0"/>
        <w:sz w:val="26"/>
        <w:szCs w:val="20"/>
        <w:lang w:val="en-US" w:eastAsia="zh-CN" w:bidi="ar-SA"/>
      </w:rPr>
      <w:t xml:space="preserve">— </w:t>
    </w:r>
    <w:r>
      <w:rPr>
        <w:rFonts w:hint="eastAsia" w:ascii="Times New Roman" w:hAnsi="Times New Roman" w:eastAsia="方正仿宋_GBK" w:cs="Times New Roman"/>
        <w:spacing w:val="0"/>
        <w:kern w:val="0"/>
        <w:sz w:val="26"/>
        <w:szCs w:val="20"/>
        <w:lang w:val="en-US" w:eastAsia="zh-CN" w:bidi="ar-SA"/>
      </w:rPr>
      <w:fldChar w:fldCharType="begin"/>
    </w:r>
    <w:r>
      <w:rPr>
        <w:rFonts w:hint="eastAsia" w:ascii="Times New Roman" w:hAnsi="Times New Roman" w:eastAsia="方正仿宋_GBK" w:cs="Times New Roman"/>
        <w:spacing w:val="0"/>
        <w:kern w:val="0"/>
        <w:sz w:val="26"/>
        <w:szCs w:val="20"/>
        <w:lang w:val="en-US" w:eastAsia="zh-CN" w:bidi="ar-SA"/>
      </w:rPr>
      <w:instrText xml:space="preserve"> PAGE </w:instrText>
    </w:r>
    <w:r>
      <w:rPr>
        <w:rFonts w:hint="eastAsia" w:ascii="Times New Roman" w:hAnsi="Times New Roman" w:eastAsia="方正仿宋_GBK" w:cs="Times New Roman"/>
        <w:spacing w:val="0"/>
        <w:kern w:val="0"/>
        <w:sz w:val="26"/>
        <w:szCs w:val="20"/>
        <w:lang w:val="en-US" w:eastAsia="zh-CN" w:bidi="ar-SA"/>
      </w:rPr>
      <w:fldChar w:fldCharType="separate"/>
    </w:r>
    <w:r>
      <w:rPr>
        <w:rFonts w:ascii="Times New Roman" w:hAnsi="Times New Roman" w:eastAsia="方正仿宋_GBK" w:cs="Times New Roman"/>
        <w:spacing w:val="0"/>
        <w:kern w:val="0"/>
        <w:sz w:val="26"/>
        <w:szCs w:val="20"/>
        <w:lang w:val="en-US" w:eastAsia="zh-CN" w:bidi="ar-SA"/>
      </w:rPr>
      <w:t>2</w:t>
    </w:r>
    <w:r>
      <w:rPr>
        <w:rFonts w:hint="eastAsia" w:ascii="Times New Roman" w:hAnsi="Times New Roman" w:eastAsia="方正仿宋_GBK" w:cs="Times New Roman"/>
        <w:spacing w:val="0"/>
        <w:kern w:val="0"/>
        <w:sz w:val="26"/>
        <w:szCs w:val="20"/>
        <w:lang w:val="en-US" w:eastAsia="zh-CN" w:bidi="ar-SA"/>
      </w:rPr>
      <w:fldChar w:fldCharType="end"/>
    </w:r>
    <w:r>
      <w:rPr>
        <w:rFonts w:hint="eastAsia" w:ascii="Times New Roman" w:hAnsi="Times New Roman" w:eastAsia="方正仿宋_GBK" w:cs="Times New Roman"/>
        <w:spacing w:val="0"/>
        <w:kern w:val="0"/>
        <w:sz w:val="26"/>
        <w:szCs w:val="20"/>
        <w:lang w:val="en-US" w:eastAsia="zh-CN" w:bidi="ar-S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74605"/>
    <w:multiLevelType w:val="singleLevel"/>
    <w:tmpl w:val="E8B74605"/>
    <w:lvl w:ilvl="0" w:tentative="0">
      <w:start w:val="1"/>
      <w:numFmt w:val="chineseCounting"/>
      <w:suff w:val="nothing"/>
      <w:lvlText w:val="（%1）"/>
      <w:lvlJc w:val="left"/>
      <w:rPr>
        <w:rFonts w:hint="eastAsia"/>
      </w:rPr>
    </w:lvl>
  </w:abstractNum>
  <w:abstractNum w:abstractNumId="1">
    <w:nsid w:val="3950F864"/>
    <w:multiLevelType w:val="singleLevel"/>
    <w:tmpl w:val="3950F864"/>
    <w:lvl w:ilvl="0" w:tentative="0">
      <w:start w:val="1"/>
      <w:numFmt w:val="chineseCounting"/>
      <w:suff w:val="nothing"/>
      <w:lvlText w:val="%1、"/>
      <w:lvlJc w:val="left"/>
      <w:rPr>
        <w:rFonts w:hint="eastAsia"/>
      </w:rPr>
    </w:lvl>
  </w:abstractNum>
  <w:abstractNum w:abstractNumId="2">
    <w:nsid w:val="492250D6"/>
    <w:multiLevelType w:val="singleLevel"/>
    <w:tmpl w:val="492250D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C3F1B"/>
    <w:rsid w:val="24AF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Times New Roman" w:eastAsia="仿宋_GB2312" w:cs="Times New Roman"/>
      <w:spacing w:val="-2"/>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2022-07-12T10:01:00Z</dcterms:created>
  <dc:creator>user</dc:creator>
  <cp:lastModifiedBy>财务基建处-裴涵</cp:lastModifiedBy>
  <dcterms:modified xsi:type="dcterms:W3CDTF">2022-07-13T10:46:39Z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